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C6" w:rsidRPr="006D571D" w:rsidRDefault="00495BCD" w:rsidP="006D571D">
      <w:pPr>
        <w:pStyle w:val="Spistreci1"/>
        <w:rPr>
          <w:rFonts w:ascii="Arial" w:hAnsi="Arial" w:cs="Arial"/>
          <w:sz w:val="20"/>
          <w:szCs w:val="20"/>
        </w:rPr>
      </w:pPr>
      <w:r w:rsidRPr="006D571D">
        <w:rPr>
          <w:rFonts w:ascii="Arial" w:hAnsi="Arial" w:cs="Arial"/>
          <w:sz w:val="20"/>
          <w:szCs w:val="20"/>
        </w:rPr>
        <w:t>Aneks nr 1/2015</w:t>
      </w:r>
    </w:p>
    <w:p w:rsidR="00376D96" w:rsidRDefault="00495BCD" w:rsidP="00376D96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</w:pPr>
      <w:r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>do Ogólnych Warunków Ube</w:t>
      </w:r>
      <w:r w:rsidR="00083F2E"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>zpieczeń</w:t>
      </w:r>
      <w:r w:rsidR="00E77374"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 xml:space="preserve"> </w:t>
      </w:r>
      <w:r w:rsidR="00D91E71"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 xml:space="preserve">domów i mieszkań </w:t>
      </w:r>
      <w:r w:rsidR="00E77374"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>„Cztery Kąty</w:t>
      </w:r>
      <w:r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 xml:space="preserve">” </w:t>
      </w:r>
    </w:p>
    <w:p w:rsidR="00376D96" w:rsidRDefault="00D91E71" w:rsidP="00376D96">
      <w:pPr>
        <w:spacing w:after="0"/>
        <w:jc w:val="center"/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</w:pPr>
      <w:r w:rsidRPr="00D91E71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>zatwierdzonych Uchwałą Zarządu Gothaer TU S.A. nr 108/15 z dnia 30.09.2015</w:t>
      </w:r>
      <w:r w:rsidR="00376D96"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0"/>
          <w:szCs w:val="20"/>
          <w:lang w:eastAsia="pl-PL"/>
        </w:rPr>
        <w:t>r.</w:t>
      </w:r>
      <w:r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 </w:t>
      </w:r>
    </w:p>
    <w:p w:rsidR="00495BCD" w:rsidRPr="006D571D" w:rsidRDefault="00D91E71" w:rsidP="00376D96">
      <w:pPr>
        <w:spacing w:after="0"/>
        <w:jc w:val="center"/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i </w:t>
      </w:r>
      <w:r w:rsidR="00495BCD" w:rsidRPr="006D571D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obowiązujących </w:t>
      </w:r>
      <w:r w:rsidR="00E77374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od 25</w:t>
      </w:r>
      <w:r w:rsidR="00C842D2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 października 2</w:t>
      </w:r>
      <w:r w:rsidR="00495BCD" w:rsidRPr="006D571D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0</w:t>
      </w:r>
      <w:r w:rsidR="00C842D2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1</w:t>
      </w:r>
      <w:r w:rsidR="00495BCD" w:rsidRPr="006D571D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>5</w:t>
      </w:r>
      <w:r w:rsidR="00376D96">
        <w:rPr>
          <w:rFonts w:ascii="Arial" w:hAnsi="Arial" w:cs="Arial"/>
          <w:color w:val="1F4E79" w:themeColor="accent1" w:themeShade="80"/>
          <w:sz w:val="20"/>
          <w:szCs w:val="20"/>
          <w:lang w:eastAsia="pl-PL"/>
        </w:rPr>
        <w:t xml:space="preserve"> r.</w:t>
      </w:r>
    </w:p>
    <w:p w:rsidR="00376D96" w:rsidRDefault="00376D96" w:rsidP="00B659EF">
      <w:pPr>
        <w:jc w:val="center"/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p w:rsidR="00376D96" w:rsidRDefault="00376D96" w:rsidP="00B659EF">
      <w:pPr>
        <w:jc w:val="center"/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p w:rsidR="00495BCD" w:rsidRPr="006D571D" w:rsidRDefault="0056386A" w:rsidP="00B659EF">
      <w:pPr>
        <w:jc w:val="center"/>
        <w:rPr>
          <w:rFonts w:ascii="Arial" w:hAnsi="Arial" w:cs="Arial"/>
          <w:b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§ </w:t>
      </w:r>
      <w:r w:rsidR="00495BCD" w:rsidRPr="006D571D">
        <w:rPr>
          <w:rFonts w:ascii="Arial" w:hAnsi="Arial" w:cs="Arial"/>
          <w:bCs/>
          <w:color w:val="1F4E79" w:themeColor="accent1" w:themeShade="80"/>
          <w:sz w:val="20"/>
          <w:szCs w:val="20"/>
        </w:rPr>
        <w:t>1</w:t>
      </w:r>
    </w:p>
    <w:p w:rsidR="00495BCD" w:rsidRDefault="00D91E71" w:rsidP="00B659EF">
      <w:pPr>
        <w:jc w:val="both"/>
        <w:rPr>
          <w:rFonts w:ascii="Arial" w:hAnsi="Arial" w:cs="Arial"/>
          <w:bCs/>
          <w:color w:val="1F4E79" w:themeColor="accent1" w:themeShade="80"/>
          <w:sz w:val="20"/>
          <w:szCs w:val="20"/>
        </w:rPr>
      </w:pPr>
      <w:r w:rsidRPr="006D571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Przed 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>„Postanowieniami ogólnymi”</w:t>
      </w:r>
      <w:r w:rsidRPr="006D571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wprowadza się 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>„Informację</w:t>
      </w:r>
      <w:r w:rsidRPr="003A2056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o istotnych postanowieniach 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ogólnych warunków ubezpieczenia, </w:t>
      </w:r>
      <w:r w:rsidRPr="003A2056">
        <w:rPr>
          <w:rFonts w:ascii="Arial" w:hAnsi="Arial" w:cs="Arial"/>
          <w:bCs/>
          <w:color w:val="1F4E79" w:themeColor="accent1" w:themeShade="80"/>
          <w:sz w:val="20"/>
          <w:szCs w:val="20"/>
        </w:rPr>
        <w:t>o których mowa w art. 17 ust. 1 ustawy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</w:t>
      </w:r>
      <w:r w:rsidRPr="003A2056">
        <w:rPr>
          <w:rFonts w:ascii="Arial" w:hAnsi="Arial" w:cs="Arial"/>
          <w:bCs/>
          <w:color w:val="1F4E79" w:themeColor="accent1" w:themeShade="80"/>
          <w:sz w:val="20"/>
          <w:szCs w:val="20"/>
        </w:rPr>
        <w:t>o działalności ubezpieczeniowej i reasekuracyjnej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>”</w:t>
      </w:r>
      <w:r w:rsidRPr="003A2056">
        <w:rPr>
          <w:rFonts w:ascii="Arial" w:hAnsi="Arial" w:cs="Arial"/>
          <w:bCs/>
          <w:color w:val="1F4E79" w:themeColor="accent1" w:themeShade="80"/>
          <w:sz w:val="20"/>
          <w:szCs w:val="20"/>
        </w:rPr>
        <w:t>:</w:t>
      </w:r>
    </w:p>
    <w:p w:rsidR="00D91E71" w:rsidRDefault="00D91E71" w:rsidP="00B659EF">
      <w:pPr>
        <w:jc w:val="both"/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p w:rsidR="00D91E71" w:rsidRPr="004C5949" w:rsidRDefault="00D91E71" w:rsidP="00D91E71">
      <w:pPr>
        <w:spacing w:after="0"/>
        <w:jc w:val="center"/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</w:pPr>
      <w:r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>„</w:t>
      </w:r>
      <w:r w:rsidRPr="004C5949"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>Informacja o istotnych postanowieniach ogólnych warunków ubezpieczenia</w:t>
      </w:r>
      <w:r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>,</w:t>
      </w:r>
    </w:p>
    <w:p w:rsidR="00D91E71" w:rsidRPr="004C5949" w:rsidRDefault="00D91E71" w:rsidP="00D91E71">
      <w:pPr>
        <w:spacing w:after="0"/>
        <w:jc w:val="center"/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</w:pPr>
      <w:r w:rsidRPr="004C5949"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 xml:space="preserve">o których mowa w art. 17 </w:t>
      </w:r>
      <w:r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 xml:space="preserve">ust. </w:t>
      </w:r>
      <w:r w:rsidRPr="004C5949"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>1 ustawy</w:t>
      </w:r>
    </w:p>
    <w:p w:rsidR="00D91E71" w:rsidRDefault="00D91E71" w:rsidP="00D91E71">
      <w:pPr>
        <w:spacing w:after="0"/>
        <w:jc w:val="center"/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</w:pPr>
      <w:r w:rsidRPr="004C5949">
        <w:rPr>
          <w:rFonts w:ascii="Arial" w:hAnsi="Arial" w:cs="Arial"/>
          <w:b/>
          <w:iCs/>
          <w:color w:val="1F4E79" w:themeColor="accent1" w:themeShade="80"/>
          <w:sz w:val="20"/>
          <w:szCs w:val="20"/>
          <w:lang w:eastAsia="pl-PL"/>
        </w:rPr>
        <w:t>o działalności ubezpieczeniowej i reasekuracyjnej</w:t>
      </w:r>
    </w:p>
    <w:p w:rsidR="00D91E71" w:rsidRPr="00D91E71" w:rsidRDefault="00D91E71" w:rsidP="00B659EF">
      <w:pPr>
        <w:jc w:val="both"/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40"/>
        <w:gridCol w:w="4390"/>
        <w:gridCol w:w="2548"/>
      </w:tblGrid>
      <w:tr w:rsidR="00E77374" w:rsidRPr="00E77374" w:rsidTr="00E77374">
        <w:tc>
          <w:tcPr>
            <w:tcW w:w="6912" w:type="dxa"/>
            <w:gridSpan w:val="2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120" w:after="60" w:line="240" w:lineRule="auto"/>
              <w:ind w:left="0"/>
              <w:jc w:val="center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Rodzaj informacji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Numer jednostki redakcyjnej OWU</w:t>
            </w:r>
          </w:p>
        </w:tc>
      </w:tr>
      <w:tr w:rsidR="00E77374" w:rsidRPr="00E77374" w:rsidTr="00E77374">
        <w:tc>
          <w:tcPr>
            <w:tcW w:w="1809" w:type="dxa"/>
            <w:vMerge w:val="restart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120"/>
              <w:ind w:left="0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Przesłanki, których zaistnienie zobowiązuje Gothaer TU S.A. wypłaty odszkodowania i innych świadczeń</w:t>
            </w: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120"/>
              <w:ind w:left="0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OWU domów i mieszkań Cztery Kąty – część ogólna </w:t>
            </w:r>
          </w:p>
        </w:tc>
        <w:tc>
          <w:tcPr>
            <w:tcW w:w="2799" w:type="dxa"/>
            <w:shd w:val="clear" w:color="auto" w:fill="auto"/>
          </w:tcPr>
          <w:p w:rsidR="00E77374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8, </w:t>
            </w:r>
          </w:p>
          <w:p w:rsidR="00E77374" w:rsidRPr="00E77374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10 ust. 2-3, </w:t>
            </w:r>
          </w:p>
          <w:p w:rsidR="00E77374" w:rsidRPr="00E77374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17 ust. 1-3, 6-7, </w:t>
            </w:r>
          </w:p>
          <w:p w:rsidR="00E77374" w:rsidRPr="00E77374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20,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21, </w:t>
            </w:r>
          </w:p>
          <w:p w:rsidR="00E77374" w:rsidRPr="00E77374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22 ust. 1-2 i 4, </w:t>
            </w:r>
          </w:p>
          <w:p w:rsidR="009D1726" w:rsidRDefault="0056386A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23 ust. 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D91E71" w:rsidP="00512E2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z uwzględnieniem odpowiednich pojęć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zawartych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 – Ubezpieczenie budynku mieszkalnego wraz ze stałymi elementami wnętrz, mieszkania wraz ze stałymi elementami wnętrz, budynku gospodarczego i budowli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24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1-4,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</w:p>
          <w:p w:rsidR="009D1726" w:rsidRDefault="0056386A" w:rsidP="00512E23">
            <w:pPr>
              <w:pStyle w:val="Akapitzlist"/>
              <w:spacing w:before="24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E77374" w:rsidRPr="00E77374" w:rsidRDefault="00AC7E44" w:rsidP="00512E23">
            <w:pPr>
              <w:pStyle w:val="Akapitzlist"/>
              <w:spacing w:before="24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z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 w Części ogólnej 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1a – Ubezpieczenie budynku mieszkalnego lub mieszkania, z wyłączeniem stałych elementów wnętrz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1 ust. 1-4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2 – Ubezpieczenie stałych elementów wnętrz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3 – Ubezpieczenie ruchomości domowych </w:t>
            </w:r>
          </w:p>
        </w:tc>
        <w:tc>
          <w:tcPr>
            <w:tcW w:w="2799" w:type="dxa"/>
            <w:shd w:val="clear" w:color="auto" w:fill="auto"/>
          </w:tcPr>
          <w:p w:rsid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1-3 i 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4 – Ubezpieczenie szyb budynku mieszkalnego lub mieszkania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5 – Ubezpieczenie odpowiedzialności cywilnej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5a – Ubezpieczenie odpowiedzialności cywilnej najemcy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 ust. 1, 3 i 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5b – Ubezpieczenie odpowiedzialności cywilnej wynajmującego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2909CE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6 – Ubezpieczenie A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ssistance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 ust. 1-4,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5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7 – Ubezpieczenie następstw nieszczęśliwych wypadków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8 – Ubezpieczenie budynku mieszkalnego, budowli oraz budynku gospodarczego w budowie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1-3,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9 – Ubezpieczenie budynku mieszkalnego w przebudowie, rozbudowie lub nadbudowie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lastRenderedPageBreak/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10 – Ubezpieczenie budynku mieszkalnego bez pozwolenia na użytkowanie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11 – Ubezpieczenie kosztów wynajmu lokalu zastępczego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4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12 – Ubezpieczenie dzieł sztuki i zbiorów kolekcjonerskich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13 – Ubezpieczenie domków letniskowych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14 – Ubezpieczenie nagrobków 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15 – Ubezpieczenie kosztów ochrony prawnej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5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 w:val="restart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Ograniczenia oraz wyłączenia odpowiedzialności Gothaer TU S.A. uprawniające do odmowy wypłaty odszkodowania lub jego obniżenia  </w:t>
            </w: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OWU domów i mieszkań Cztery Kąty – część ogólna</w:t>
            </w:r>
          </w:p>
        </w:tc>
        <w:tc>
          <w:tcPr>
            <w:tcW w:w="2799" w:type="dxa"/>
            <w:shd w:val="clear" w:color="auto" w:fill="auto"/>
          </w:tcPr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4 ust. 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5, </w:t>
            </w:r>
          </w:p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12 ust. 1-4, </w:t>
            </w:r>
          </w:p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16 ust. 4 i 8, </w:t>
            </w:r>
          </w:p>
          <w:p w:rsidR="00E77374" w:rsidRP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17 ust. 4-5, </w:t>
            </w:r>
          </w:p>
          <w:p w:rsidR="00E77374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18,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22 ust. 5-7, </w:t>
            </w:r>
          </w:p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23 ust. 3, 4, 6 i 7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 – Ubezpieczenie budynku mieszkalnego wraz ze stałymi elementami wnętrz, mieszkania wraz ze stałymi elementami wnętrz, budynku gospodarczego i budowli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24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24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2 – Ubezpieczenie stałych elementów wnętrz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3 – Ubezpieczenie ruchomości domowych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4 – Ubezpieczenie szyb budynku mieszkalnego lub mieszkania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5 – Ubezpieczenie odpowiedzialności cywilnej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5a – Ubezpieczenie odpowiedzialności cywilnej najemcy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 ust. 2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5b – Ubezpieczenie odpowiedzialności cywilnej wynajmującego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78033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6 – Ubezpieczenie A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ssistance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 ust. 5,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7 – Ubezpieczenie następstw nieszczęśliwych wypadków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6 ust. 15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8 – Ubezpieczenie budynku mieszkalnego, budowli oraz budynku gospodarczego w budowie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 ust. 4, 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9 – Ubezpieczenie budynku mieszkalnego w przebudowie, rozbudowie lub nadbudowie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10 – Ubezpieczenie budynku mieszkalnego bez pozwolenia na użytkowanie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lastRenderedPageBreak/>
              <w:t xml:space="preserve">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Klauzula nr 12 – Ubezpieczenie dzieł sztuki i zbiorów kolekcjonerskich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13 – Ubezpieczenie domków letniskowych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14 – Ubezpieczenie nagrobków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  <w:tr w:rsidR="00E77374" w:rsidRPr="00E77374" w:rsidTr="00E77374">
        <w:tc>
          <w:tcPr>
            <w:tcW w:w="1809" w:type="dxa"/>
            <w:vMerge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77374" w:rsidRPr="00E77374" w:rsidRDefault="00E77374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Klauzula nr 15 – Ubezpieczenie kosztów ochrony prawnej </w:t>
            </w:r>
          </w:p>
        </w:tc>
        <w:tc>
          <w:tcPr>
            <w:tcW w:w="2799" w:type="dxa"/>
            <w:shd w:val="clear" w:color="auto" w:fill="auto"/>
          </w:tcPr>
          <w:p w:rsidR="009D1726" w:rsidRDefault="0056386A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E77374" w:rsidRPr="00E7737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3</w:t>
            </w:r>
            <w:r w:rsidR="009D1726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,</w:t>
            </w:r>
          </w:p>
          <w:p w:rsidR="00E77374" w:rsidRPr="00E77374" w:rsidRDefault="009D1726" w:rsidP="00512E23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z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uwzględnieniem odpowiednich pojęć zawartych w </w:t>
            </w:r>
            <w:r w:rsidR="0056386A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§ </w:t>
            </w:r>
            <w:r w:rsidR="00AC7E44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 w Części ogólnej</w:t>
            </w:r>
          </w:p>
        </w:tc>
      </w:tr>
    </w:tbl>
    <w:p w:rsidR="008B12A6" w:rsidRPr="00E77374" w:rsidRDefault="00980D36">
      <w:pPr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p w:rsidR="00F66AA4" w:rsidRPr="006D571D" w:rsidRDefault="0056386A" w:rsidP="000C1AA2">
      <w:pPr>
        <w:pStyle w:val="Akapitzlist"/>
        <w:spacing w:before="60" w:after="60" w:line="240" w:lineRule="auto"/>
        <w:ind w:left="0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§ </w:t>
      </w:r>
      <w:r w:rsidR="00F66AA4" w:rsidRPr="006D571D">
        <w:rPr>
          <w:rFonts w:ascii="Arial" w:hAnsi="Arial" w:cs="Arial"/>
          <w:color w:val="1F4E79" w:themeColor="accent1" w:themeShade="80"/>
          <w:sz w:val="20"/>
          <w:szCs w:val="20"/>
        </w:rPr>
        <w:t>2</w:t>
      </w:r>
    </w:p>
    <w:p w:rsidR="005A5F05" w:rsidRDefault="005A5F05" w:rsidP="00E77374">
      <w:pPr>
        <w:pStyle w:val="Default"/>
        <w:rPr>
          <w:color w:val="1F4E79" w:themeColor="accent1" w:themeShade="80"/>
          <w:sz w:val="20"/>
          <w:szCs w:val="20"/>
        </w:rPr>
      </w:pPr>
    </w:p>
    <w:p w:rsidR="00AC7E44" w:rsidRPr="0071099B" w:rsidRDefault="0056386A" w:rsidP="00AC7E44">
      <w:pPr>
        <w:pStyle w:val="Akapitzlist"/>
        <w:numPr>
          <w:ilvl w:val="0"/>
          <w:numId w:val="12"/>
        </w:numPr>
        <w:spacing w:before="60" w:after="60" w:line="240" w:lineRule="auto"/>
        <w:ind w:left="284" w:hanging="284"/>
        <w:jc w:val="both"/>
        <w:rPr>
          <w:rFonts w:ascii="Arial" w:hAnsi="Arial" w:cs="Arial"/>
          <w:b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§ </w:t>
      </w:r>
      <w:r w:rsidR="00AC7E44" w:rsidRPr="0071099B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1 ust. </w:t>
      </w:r>
      <w:r w:rsidR="00AC7E44">
        <w:rPr>
          <w:rFonts w:ascii="Arial" w:hAnsi="Arial" w:cs="Arial"/>
          <w:bCs/>
          <w:color w:val="1F4E79" w:themeColor="accent1" w:themeShade="80"/>
          <w:sz w:val="20"/>
          <w:szCs w:val="20"/>
        </w:rPr>
        <w:t>4</w:t>
      </w:r>
      <w:r w:rsidR="00AC7E44" w:rsidRPr="0071099B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„Postanowienia </w:t>
      </w:r>
      <w:r w:rsidR="00AC7E44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ogólne” </w:t>
      </w:r>
      <w:r w:rsidR="00AC7E44" w:rsidRPr="0071099B">
        <w:rPr>
          <w:rFonts w:ascii="Arial" w:hAnsi="Arial" w:cs="Arial"/>
          <w:bCs/>
          <w:color w:val="1F4E79" w:themeColor="accent1" w:themeShade="80"/>
          <w:sz w:val="20"/>
          <w:szCs w:val="20"/>
        </w:rPr>
        <w:t>otrzymuje brzmienie:</w:t>
      </w:r>
    </w:p>
    <w:p w:rsidR="00AC7E44" w:rsidRPr="0071099B" w:rsidRDefault="00AC7E44" w:rsidP="00AC7E44">
      <w:pPr>
        <w:pStyle w:val="Default"/>
        <w:ind w:left="284"/>
        <w:jc w:val="both"/>
        <w:rPr>
          <w:i/>
          <w:color w:val="1F4E79" w:themeColor="accent1" w:themeShade="80"/>
          <w:sz w:val="20"/>
          <w:szCs w:val="20"/>
        </w:rPr>
      </w:pPr>
      <w:r w:rsidRPr="0071099B">
        <w:rPr>
          <w:i/>
          <w:color w:val="1F4E79" w:themeColor="accent1" w:themeShade="80"/>
          <w:sz w:val="20"/>
          <w:szCs w:val="20"/>
        </w:rPr>
        <w:t>„Do spraw nieuregulowanych w OWU mają zastosowanie przepisy prawa polskiego, w tym w szczególności Kodeksu cywilnego oraz aktów prawnych regulujących działalność ubezpieczeniową.”</w:t>
      </w:r>
    </w:p>
    <w:p w:rsidR="00AC7E44" w:rsidRDefault="00AC7E44" w:rsidP="00AC7E44">
      <w:pPr>
        <w:pStyle w:val="Default"/>
        <w:rPr>
          <w:color w:val="1F4E79" w:themeColor="accent1" w:themeShade="80"/>
          <w:sz w:val="20"/>
          <w:szCs w:val="20"/>
        </w:rPr>
      </w:pPr>
    </w:p>
    <w:p w:rsidR="005A5F05" w:rsidRDefault="0056386A" w:rsidP="00AC7E44">
      <w:pPr>
        <w:pStyle w:val="Default"/>
        <w:numPr>
          <w:ilvl w:val="0"/>
          <w:numId w:val="6"/>
        </w:numPr>
        <w:ind w:left="284" w:hanging="284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§ </w:t>
      </w:r>
      <w:r w:rsidR="005A5F05">
        <w:rPr>
          <w:color w:val="1F4E79" w:themeColor="accent1" w:themeShade="80"/>
          <w:sz w:val="20"/>
          <w:szCs w:val="20"/>
        </w:rPr>
        <w:t xml:space="preserve">5 </w:t>
      </w:r>
      <w:r w:rsidR="00AC7E44">
        <w:rPr>
          <w:color w:val="1F4E79" w:themeColor="accent1" w:themeShade="80"/>
          <w:sz w:val="20"/>
          <w:szCs w:val="20"/>
        </w:rPr>
        <w:t xml:space="preserve">ust. 1 pkt </w:t>
      </w:r>
      <w:r w:rsidR="005A5F05">
        <w:rPr>
          <w:color w:val="1F4E79" w:themeColor="accent1" w:themeShade="80"/>
          <w:sz w:val="20"/>
          <w:szCs w:val="20"/>
        </w:rPr>
        <w:t>8</w:t>
      </w:r>
      <w:r w:rsidR="00AC7E44">
        <w:rPr>
          <w:color w:val="1F4E79" w:themeColor="accent1" w:themeShade="80"/>
          <w:sz w:val="20"/>
          <w:szCs w:val="20"/>
        </w:rPr>
        <w:t>) „</w:t>
      </w:r>
      <w:r w:rsidR="00744153" w:rsidRPr="00744153">
        <w:rPr>
          <w:bCs/>
          <w:color w:val="1F4E79" w:themeColor="accent1" w:themeShade="80"/>
          <w:sz w:val="20"/>
          <w:szCs w:val="20"/>
        </w:rPr>
        <w:t>Jakie są generalne wyłączenia odpowiedzialności Gothaer TU S.A.</w:t>
      </w:r>
      <w:r w:rsidR="00AC7E44">
        <w:rPr>
          <w:color w:val="1F4E79" w:themeColor="accent1" w:themeShade="80"/>
          <w:sz w:val="20"/>
          <w:szCs w:val="20"/>
        </w:rPr>
        <w:t>”</w:t>
      </w:r>
      <w:r w:rsidR="005A5F05">
        <w:rPr>
          <w:color w:val="1F4E79" w:themeColor="accent1" w:themeShade="80"/>
          <w:sz w:val="20"/>
          <w:szCs w:val="20"/>
        </w:rPr>
        <w:t xml:space="preserve"> otrzymuje następujące brzmienie:</w:t>
      </w:r>
    </w:p>
    <w:p w:rsidR="005A5F05" w:rsidRPr="005A5F05" w:rsidRDefault="005A5F05" w:rsidP="005A5F05">
      <w:pPr>
        <w:pStyle w:val="Default"/>
        <w:ind w:left="720"/>
        <w:rPr>
          <w:rFonts w:eastAsia="Calibri"/>
          <w:i/>
          <w:iCs/>
          <w:color w:val="1F4E79" w:themeColor="accent1" w:themeShade="80"/>
          <w:sz w:val="20"/>
          <w:szCs w:val="20"/>
        </w:rPr>
      </w:pPr>
    </w:p>
    <w:p w:rsidR="005A5F05" w:rsidRPr="005A5F05" w:rsidRDefault="005A5F05" w:rsidP="00AC7E44">
      <w:pPr>
        <w:pStyle w:val="Default"/>
        <w:ind w:left="284"/>
        <w:rPr>
          <w:rFonts w:eastAsia="Calibri"/>
          <w:i/>
          <w:iCs/>
          <w:color w:val="1F4E79" w:themeColor="accent1" w:themeShade="80"/>
          <w:sz w:val="20"/>
          <w:szCs w:val="20"/>
        </w:rPr>
      </w:pPr>
      <w:r w:rsidRPr="005A5F05">
        <w:rPr>
          <w:rFonts w:eastAsia="Calibri"/>
          <w:i/>
          <w:iCs/>
          <w:color w:val="1F4E79" w:themeColor="accent1" w:themeShade="80"/>
          <w:sz w:val="20"/>
          <w:szCs w:val="20"/>
        </w:rPr>
        <w:t>„w zakresie objętym systemem ubezpieczeń obowiązkowych – również w sytuacji, gdy ubezpieczony nie wykonał obowiązku ubezpieczenia”</w:t>
      </w:r>
    </w:p>
    <w:p w:rsidR="001A6B68" w:rsidRDefault="001A6B68" w:rsidP="00E77374">
      <w:pPr>
        <w:pStyle w:val="Default"/>
        <w:rPr>
          <w:color w:val="1F4E79" w:themeColor="accent1" w:themeShade="80"/>
          <w:sz w:val="20"/>
          <w:szCs w:val="20"/>
        </w:rPr>
      </w:pPr>
    </w:p>
    <w:p w:rsidR="005A5F05" w:rsidRDefault="0056386A" w:rsidP="00AC7E44">
      <w:pPr>
        <w:pStyle w:val="Default"/>
        <w:numPr>
          <w:ilvl w:val="0"/>
          <w:numId w:val="6"/>
        </w:numPr>
        <w:ind w:left="284" w:hanging="284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§ </w:t>
      </w:r>
      <w:r w:rsidR="005A5F05">
        <w:rPr>
          <w:color w:val="1F4E79" w:themeColor="accent1" w:themeShade="80"/>
          <w:sz w:val="20"/>
          <w:szCs w:val="20"/>
        </w:rPr>
        <w:t xml:space="preserve">5 </w:t>
      </w:r>
      <w:r w:rsidR="001027DC">
        <w:rPr>
          <w:color w:val="1F4E79" w:themeColor="accent1" w:themeShade="80"/>
          <w:sz w:val="20"/>
          <w:szCs w:val="20"/>
        </w:rPr>
        <w:t xml:space="preserve"> „</w:t>
      </w:r>
      <w:r w:rsidR="00744153" w:rsidRPr="00744153">
        <w:rPr>
          <w:bCs/>
          <w:color w:val="1F4E79" w:themeColor="accent1" w:themeShade="80"/>
          <w:sz w:val="20"/>
          <w:szCs w:val="20"/>
        </w:rPr>
        <w:t>Jakie są generalne wyłączenia odpowiedzialności Gothaer TU S.A.</w:t>
      </w:r>
      <w:r w:rsidR="001027DC">
        <w:rPr>
          <w:color w:val="1F4E79" w:themeColor="accent1" w:themeShade="80"/>
          <w:sz w:val="20"/>
          <w:szCs w:val="20"/>
        </w:rPr>
        <w:t>” dodaje się ust. 3 o następującym brzmieniu</w:t>
      </w:r>
      <w:r w:rsidR="005A5F05">
        <w:rPr>
          <w:color w:val="1F4E79" w:themeColor="accent1" w:themeShade="80"/>
          <w:sz w:val="20"/>
          <w:szCs w:val="20"/>
        </w:rPr>
        <w:t>:</w:t>
      </w:r>
    </w:p>
    <w:p w:rsidR="005A5F05" w:rsidRDefault="005A5F05" w:rsidP="005A5F05">
      <w:pPr>
        <w:pStyle w:val="Default"/>
        <w:ind w:left="720"/>
        <w:rPr>
          <w:color w:val="1F4E79" w:themeColor="accent1" w:themeShade="80"/>
          <w:sz w:val="20"/>
          <w:szCs w:val="20"/>
        </w:rPr>
      </w:pPr>
    </w:p>
    <w:p w:rsidR="005A5F05" w:rsidRPr="005A5F05" w:rsidRDefault="005A5F05" w:rsidP="00780334">
      <w:pPr>
        <w:pStyle w:val="Akapitzlist"/>
        <w:spacing w:after="120"/>
        <w:ind w:left="709"/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780334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5A5F05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Gothaer TU S.A. stosuje wyłączenie albo ograniczenie swojej odpowiedzialności, jeżeli pomiędzy zdarzeniem ubezpieczeniowym lub szkodą a okolicznością wskazaną w postanowieniach dotyczących danego wyłączenia albo ograniczenia odpowiedzialności istnieje </w:t>
      </w:r>
      <w:r w:rsidRPr="005A5F05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lastRenderedPageBreak/>
        <w:t>adekwatny związek przyczynowo-skutkowy, tj. gdy zdarzenie ubezpieczeniowe lub szkoda są typowym, normalnym następstwem wspomnianej okoliczności.</w:t>
      </w:r>
      <w:r w:rsidR="00780334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</w:p>
    <w:p w:rsidR="005A5F05" w:rsidRDefault="005A5F05" w:rsidP="005A5F05">
      <w:pPr>
        <w:pStyle w:val="Default"/>
        <w:ind w:left="720"/>
        <w:rPr>
          <w:color w:val="1F4E79" w:themeColor="accent1" w:themeShade="80"/>
          <w:sz w:val="20"/>
          <w:szCs w:val="20"/>
        </w:rPr>
      </w:pPr>
    </w:p>
    <w:p w:rsidR="001A6B68" w:rsidRDefault="0056386A" w:rsidP="001027DC">
      <w:pPr>
        <w:pStyle w:val="Default"/>
        <w:numPr>
          <w:ilvl w:val="0"/>
          <w:numId w:val="6"/>
        </w:numPr>
        <w:ind w:left="284" w:hanging="284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§ </w:t>
      </w:r>
      <w:r w:rsidR="001A6B68">
        <w:rPr>
          <w:color w:val="1F4E79" w:themeColor="accent1" w:themeShade="80"/>
          <w:sz w:val="20"/>
          <w:szCs w:val="20"/>
        </w:rPr>
        <w:t>9 ust</w:t>
      </w:r>
      <w:r w:rsidR="001027DC">
        <w:rPr>
          <w:color w:val="1F4E79" w:themeColor="accent1" w:themeShade="80"/>
          <w:sz w:val="20"/>
          <w:szCs w:val="20"/>
        </w:rPr>
        <w:t xml:space="preserve">. </w:t>
      </w:r>
      <w:r w:rsidR="001A6B68">
        <w:rPr>
          <w:color w:val="1F4E79" w:themeColor="accent1" w:themeShade="80"/>
          <w:sz w:val="20"/>
          <w:szCs w:val="20"/>
        </w:rPr>
        <w:t xml:space="preserve">1 </w:t>
      </w:r>
      <w:r w:rsidR="001027DC">
        <w:rPr>
          <w:color w:val="1F4E79" w:themeColor="accent1" w:themeShade="80"/>
          <w:sz w:val="20"/>
          <w:szCs w:val="20"/>
        </w:rPr>
        <w:t>„</w:t>
      </w:r>
      <w:r w:rsidR="00744153" w:rsidRPr="00744153">
        <w:rPr>
          <w:bCs/>
          <w:color w:val="1F4E79" w:themeColor="accent1" w:themeShade="80"/>
          <w:sz w:val="20"/>
          <w:szCs w:val="20"/>
        </w:rPr>
        <w:t>Kiedy i z jakich powodów umowa ubezpieczenia wygasa</w:t>
      </w:r>
      <w:r w:rsidR="001027DC">
        <w:rPr>
          <w:color w:val="1F4E79" w:themeColor="accent1" w:themeShade="80"/>
          <w:sz w:val="20"/>
          <w:szCs w:val="20"/>
        </w:rPr>
        <w:t xml:space="preserve">” </w:t>
      </w:r>
      <w:r w:rsidR="001A6B68">
        <w:rPr>
          <w:color w:val="1F4E79" w:themeColor="accent1" w:themeShade="80"/>
          <w:sz w:val="20"/>
          <w:szCs w:val="20"/>
        </w:rPr>
        <w:t xml:space="preserve">dodaje się </w:t>
      </w:r>
      <w:r w:rsidR="001027DC">
        <w:rPr>
          <w:color w:val="1F4E79" w:themeColor="accent1" w:themeShade="80"/>
          <w:sz w:val="20"/>
          <w:szCs w:val="20"/>
        </w:rPr>
        <w:t xml:space="preserve">pkt </w:t>
      </w:r>
      <w:r w:rsidR="001A6B68">
        <w:rPr>
          <w:color w:val="1F4E79" w:themeColor="accent1" w:themeShade="80"/>
          <w:sz w:val="20"/>
          <w:szCs w:val="20"/>
        </w:rPr>
        <w:t>9)</w:t>
      </w:r>
      <w:r w:rsidR="000C1AA2" w:rsidRPr="006D571D">
        <w:rPr>
          <w:color w:val="1F4E79" w:themeColor="accent1" w:themeShade="80"/>
          <w:sz w:val="20"/>
          <w:szCs w:val="20"/>
        </w:rPr>
        <w:t xml:space="preserve"> </w:t>
      </w:r>
      <w:r w:rsidR="001A6B68">
        <w:rPr>
          <w:color w:val="1F4E79" w:themeColor="accent1" w:themeShade="80"/>
          <w:sz w:val="20"/>
          <w:szCs w:val="20"/>
        </w:rPr>
        <w:t>o następującym brzmieniu:</w:t>
      </w:r>
    </w:p>
    <w:p w:rsidR="001A6B68" w:rsidRDefault="001A6B68" w:rsidP="001A6B68">
      <w:pPr>
        <w:pStyle w:val="Default"/>
        <w:ind w:left="720"/>
        <w:rPr>
          <w:color w:val="1F4E79" w:themeColor="accent1" w:themeShade="80"/>
          <w:sz w:val="20"/>
          <w:szCs w:val="20"/>
        </w:rPr>
      </w:pPr>
    </w:p>
    <w:p w:rsidR="001A6B68" w:rsidRPr="001A6B68" w:rsidRDefault="001A6B68" w:rsidP="001A6B6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color w:val="1F4E79" w:themeColor="accent1" w:themeShade="8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1A6B68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z dniem wystąpienia z umowy ubezpieczenia przez jedyną osobę, na której rachunek umowa jest zawarta w dniu wystąpienia z umowy ubezpieczenia przez tę osobę, zgodnie z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 ust. 10.”</w:t>
      </w:r>
    </w:p>
    <w:p w:rsidR="001A6B68" w:rsidRDefault="001A6B68" w:rsidP="001A6B68">
      <w:pPr>
        <w:pStyle w:val="Default"/>
        <w:ind w:left="720"/>
        <w:rPr>
          <w:color w:val="1F4E79" w:themeColor="accent1" w:themeShade="80"/>
          <w:sz w:val="20"/>
          <w:szCs w:val="20"/>
        </w:rPr>
      </w:pPr>
    </w:p>
    <w:p w:rsidR="001A6B68" w:rsidRDefault="0056386A" w:rsidP="001027DC">
      <w:pPr>
        <w:pStyle w:val="Default"/>
        <w:numPr>
          <w:ilvl w:val="0"/>
          <w:numId w:val="6"/>
        </w:numPr>
        <w:ind w:left="284" w:hanging="284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§ </w:t>
      </w:r>
      <w:r w:rsidR="005A5F05">
        <w:rPr>
          <w:color w:val="1F4E79" w:themeColor="accent1" w:themeShade="80"/>
          <w:sz w:val="20"/>
          <w:szCs w:val="20"/>
        </w:rPr>
        <w:t>9 ust</w:t>
      </w:r>
      <w:r w:rsidR="001027DC">
        <w:rPr>
          <w:color w:val="1F4E79" w:themeColor="accent1" w:themeShade="80"/>
          <w:sz w:val="20"/>
          <w:szCs w:val="20"/>
        </w:rPr>
        <w:t xml:space="preserve">. </w:t>
      </w:r>
      <w:r w:rsidR="001A6B68">
        <w:rPr>
          <w:color w:val="1F4E79" w:themeColor="accent1" w:themeShade="80"/>
          <w:sz w:val="20"/>
          <w:szCs w:val="20"/>
        </w:rPr>
        <w:t xml:space="preserve">3 </w:t>
      </w:r>
      <w:r w:rsidR="001027DC">
        <w:rPr>
          <w:color w:val="1F4E79" w:themeColor="accent1" w:themeShade="80"/>
          <w:sz w:val="20"/>
          <w:szCs w:val="20"/>
        </w:rPr>
        <w:t xml:space="preserve">„Umowa ubezpieczenia” </w:t>
      </w:r>
      <w:r w:rsidR="001A6B68">
        <w:rPr>
          <w:color w:val="1F4E79" w:themeColor="accent1" w:themeShade="80"/>
          <w:sz w:val="20"/>
          <w:szCs w:val="20"/>
        </w:rPr>
        <w:t>otrzymuje następujące brzmienie:</w:t>
      </w:r>
    </w:p>
    <w:p w:rsidR="001A6B68" w:rsidRDefault="001A6B68" w:rsidP="001A6B68">
      <w:pPr>
        <w:pStyle w:val="Default"/>
        <w:ind w:left="720"/>
        <w:rPr>
          <w:color w:val="1F4E79" w:themeColor="accent1" w:themeShade="80"/>
          <w:sz w:val="20"/>
          <w:szCs w:val="20"/>
        </w:rPr>
      </w:pPr>
    </w:p>
    <w:p w:rsidR="001A6B68" w:rsidRDefault="001A6B68" w:rsidP="001A6B68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1A6B68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Jeżeli umowa ubezpieczenia została zawarta na okres dłuższy niż 6 miesięcy, Ubezpieczający ma prawo odstąpienia od umowy ubezpieczenia w terminie 30 dni, a jeżeli Ubezpieczający jest przedsiębiorcą – w terminie 7 dni od dnia zawarcia umowy ubezpieczenia. Jeżeli najpóźniej w chwili zawarcia umowy ubezpieczenia Gothaer TU S.A. nie poinformowało Ubezpieczającego będącego konsumentem o prawie odstąpienia od umowy, termin 30 dni biegnie od dnia, w którym Ubezpieczający będący konsumentem dowiedział się o tym prawie.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  <w:r w:rsidRPr="001A6B68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   </w:t>
      </w:r>
    </w:p>
    <w:p w:rsidR="001A6B68" w:rsidRDefault="001A6B68" w:rsidP="001A6B68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</w:p>
    <w:p w:rsidR="001A6B68" w:rsidRPr="001027DC" w:rsidRDefault="00376D96" w:rsidP="00966FC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W </w:t>
      </w:r>
      <w:r w:rsidR="0056386A"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1A6B68" w:rsidRPr="001027DC">
        <w:rPr>
          <w:rFonts w:ascii="Arial" w:hAnsi="Arial" w:cs="Arial"/>
          <w:color w:val="1F4E79" w:themeColor="accent1" w:themeShade="80"/>
          <w:sz w:val="20"/>
          <w:szCs w:val="20"/>
        </w:rPr>
        <w:t>9</w:t>
      </w:r>
      <w:r w:rsidR="00F7554E"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1027D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744153" w:rsidRPr="00744153">
        <w:rPr>
          <w:rFonts w:ascii="Arial" w:hAnsi="Arial" w:cs="Arial"/>
          <w:bCs/>
          <w:color w:val="1F4E79" w:themeColor="accent1" w:themeShade="80"/>
          <w:sz w:val="20"/>
          <w:szCs w:val="20"/>
        </w:rPr>
        <w:t>Kiedy i z jakich powodów umowa ubezpieczenia wygasa</w:t>
      </w:r>
      <w:r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”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po ust. 9 dodaje się nowy 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ust. 10 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o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 następując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ym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 brzmieni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u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>:</w:t>
      </w:r>
    </w:p>
    <w:p w:rsidR="001A6B68" w:rsidRPr="001A6B68" w:rsidRDefault="001A6B68" w:rsidP="001027DC">
      <w:pPr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1A6B68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Jeżeli umowa ubezpieczenia została zawarta na rachunek innej osoby, osoba ta ma prawo wystąpić z umowy ubezpieczenia, składając pisemne oświadczenie Goth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a</w:t>
      </w:r>
      <w:r w:rsidRPr="001A6B68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er TU S.A. Wystąpienie ma skutek w dniu następnym po złożeniu oświadczenia, chyba że osoba występująca z umowy ubezpieczenia ustaliła z Gothaer TU S.A. inaczej.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</w:p>
    <w:p w:rsidR="001A6B68" w:rsidRDefault="001A6B68" w:rsidP="001A6B68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</w:p>
    <w:p w:rsidR="001A6B68" w:rsidRPr="00F7554E" w:rsidRDefault="00376D96" w:rsidP="001027D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Dotychczasowy </w:t>
      </w:r>
      <w:r w:rsidR="0056386A"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F7554E" w:rsidRPr="00F7554E">
        <w:rPr>
          <w:rFonts w:ascii="Arial" w:hAnsi="Arial" w:cs="Arial"/>
          <w:color w:val="1F4E79" w:themeColor="accent1" w:themeShade="80"/>
          <w:sz w:val="20"/>
          <w:szCs w:val="20"/>
        </w:rPr>
        <w:t>9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>ust. 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744153" w:rsidRPr="00744153">
        <w:rPr>
          <w:rFonts w:ascii="Arial" w:hAnsi="Arial" w:cs="Arial"/>
          <w:bCs/>
          <w:color w:val="1F4E79" w:themeColor="accent1" w:themeShade="80"/>
          <w:sz w:val="20"/>
          <w:szCs w:val="20"/>
        </w:rPr>
        <w:t>Kiedy i z jakich powodów umowa ubezpieczenia wygasa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” otrzymuje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numer 11 i </w:t>
      </w:r>
      <w:r w:rsidR="001027DC" w:rsidRPr="001027DC">
        <w:rPr>
          <w:rFonts w:ascii="Arial" w:hAnsi="Arial" w:cs="Arial"/>
          <w:color w:val="1F4E79" w:themeColor="accent1" w:themeShade="80"/>
          <w:sz w:val="20"/>
          <w:szCs w:val="20"/>
        </w:rPr>
        <w:t>następujące brzmienie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>:</w:t>
      </w:r>
    </w:p>
    <w:p w:rsidR="00F7554E" w:rsidRDefault="00F7554E" w:rsidP="00F7554E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F7554E" w:rsidRDefault="00F7554E" w:rsidP="001027DC">
      <w:pPr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F7554E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Wygaśnięcie umowy ubezpieczenia nie zwalnia Ubezpieczającego z obowiązku zapłacenia składki za okres, w którym Gothaer TU S.A. udzielało ochrony ubezpieczeniowej.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</w:p>
    <w:p w:rsidR="00F7554E" w:rsidRDefault="00F7554E" w:rsidP="00F7554E">
      <w:pPr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</w:p>
    <w:p w:rsidR="001027DC" w:rsidRDefault="00744153" w:rsidP="001027D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W </w:t>
      </w:r>
      <w:r w:rsidR="0056386A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§ </w:t>
      </w: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>9 d</w:t>
      </w:r>
      <w:r w:rsidR="001027DC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otychczasowy ust. 11 </w:t>
      </w:r>
      <w:r w:rsidR="00376D96">
        <w:rPr>
          <w:rFonts w:ascii="Arial" w:hAnsi="Arial" w:cs="Arial"/>
          <w:iCs/>
          <w:color w:val="1F4E79" w:themeColor="accent1" w:themeShade="80"/>
          <w:sz w:val="20"/>
          <w:szCs w:val="20"/>
        </w:rPr>
        <w:t>otrzymuje numer</w:t>
      </w:r>
      <w:r w:rsidR="001027DC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 12.</w:t>
      </w:r>
    </w:p>
    <w:p w:rsidR="001027DC" w:rsidRDefault="001027DC" w:rsidP="001027DC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F7554E" w:rsidRPr="001027DC" w:rsidRDefault="00F428C3" w:rsidP="001027D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>W</w:t>
      </w:r>
      <w:r w:rsidR="001027DC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 </w:t>
      </w:r>
      <w:r w:rsidR="0056386A"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 xml:space="preserve">22 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744153" w:rsidRPr="00744153">
        <w:rPr>
          <w:rFonts w:ascii="Arial" w:hAnsi="Arial" w:cs="Arial"/>
          <w:bCs/>
          <w:color w:val="1F4E79" w:themeColor="accent1" w:themeShade="80"/>
          <w:sz w:val="20"/>
          <w:szCs w:val="20"/>
        </w:rPr>
        <w:t>Na czym polega i jak odbywa się postępowanie wyjaśniające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>”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skreśla się ust. 3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1027DC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:rsidR="001027DC" w:rsidRPr="001027DC" w:rsidRDefault="001027DC" w:rsidP="001027DC">
      <w:pPr>
        <w:pStyle w:val="Akapitzlist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1027DC" w:rsidRPr="00F7554E" w:rsidRDefault="001027DC" w:rsidP="008629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 Dotychczasowe ust. </w:t>
      </w:r>
      <w:r w:rsidR="0086294C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4-8 </w:t>
      </w:r>
      <w:r w:rsidR="00744153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w </w:t>
      </w:r>
      <w:r w:rsidR="0056386A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§ </w:t>
      </w:r>
      <w:r w:rsidR="00744153"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22 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744153" w:rsidRPr="00744153">
        <w:rPr>
          <w:rFonts w:ascii="Arial" w:hAnsi="Arial" w:cs="Arial"/>
          <w:bCs/>
          <w:color w:val="1F4E79" w:themeColor="accent1" w:themeShade="80"/>
          <w:sz w:val="20"/>
          <w:szCs w:val="20"/>
        </w:rPr>
        <w:t>Na czym polega i jak odbywa się postępowanie wyjaśniające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 xml:space="preserve">” </w:t>
      </w:r>
      <w:r w:rsidR="00744153">
        <w:rPr>
          <w:rFonts w:ascii="Arial" w:hAnsi="Arial" w:cs="Arial"/>
          <w:color w:val="1F4E79" w:themeColor="accent1" w:themeShade="80"/>
          <w:sz w:val="20"/>
          <w:szCs w:val="20"/>
        </w:rPr>
        <w:lastRenderedPageBreak/>
        <w:t>otrzymują kolejne numery od 3 do 7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:rsidR="00F7554E" w:rsidRDefault="00F7554E" w:rsidP="00F7554E">
      <w:pPr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F7554E" w:rsidRPr="0086294C" w:rsidRDefault="0056386A" w:rsidP="008629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>23 ust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 xml:space="preserve">. 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 xml:space="preserve">5 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F428C3" w:rsidRPr="00F428C3">
        <w:rPr>
          <w:rFonts w:ascii="Arial" w:hAnsi="Arial" w:cs="Arial"/>
          <w:bCs/>
          <w:color w:val="1F4E79" w:themeColor="accent1" w:themeShade="80"/>
          <w:sz w:val="20"/>
          <w:szCs w:val="20"/>
        </w:rPr>
        <w:t>Na jakiej podstawie i kiedy wypłacane jest odszkodowanie lub świadczenie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 xml:space="preserve">” </w:t>
      </w:r>
      <w:r w:rsidR="00F7554E">
        <w:rPr>
          <w:rFonts w:ascii="Arial" w:hAnsi="Arial" w:cs="Arial"/>
          <w:color w:val="1F4E79" w:themeColor="accent1" w:themeShade="80"/>
          <w:sz w:val="20"/>
          <w:szCs w:val="20"/>
        </w:rPr>
        <w:t>otrzymuje następujące brzmienie:</w:t>
      </w:r>
    </w:p>
    <w:p w:rsidR="00F7554E" w:rsidRDefault="00F7554E" w:rsidP="0086294C">
      <w:pPr>
        <w:widowControl w:val="0"/>
        <w:autoSpaceDE w:val="0"/>
        <w:autoSpaceDN w:val="0"/>
        <w:adjustRightInd w:val="0"/>
        <w:spacing w:before="80" w:after="0" w:line="240" w:lineRule="auto"/>
        <w:ind w:left="284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F7554E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Jeżeli odszkodowanie lub świadczenie nie przysługuje lub przyznano je w innej wysokości niż wniesione roszczenia, Gothaer TU S.A. informuje o tym na piśmie osobę występującą z roszczeniem oraz Ubezpieczonego – jeżeli umowa ubezpieczenia jest zawarta na cudzy rachunek, a Ubezpieczony nie jest osobą zgłaszającą roszczenie – wskazując na okoliczności oraz na podstawę prawną uzasadniające całkowitą lub częściową odmowę wypłaty odszkodowania lub świadczenia oraz zawiadamiając o możliwości odwołania się lub o dochodzeniu roszczeń na drodze postępowania sądowego.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</w:p>
    <w:p w:rsidR="005A5F05" w:rsidRDefault="005A5F05" w:rsidP="00F7554E">
      <w:pPr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</w:p>
    <w:p w:rsidR="005A5F05" w:rsidRPr="005A5F05" w:rsidRDefault="0056386A" w:rsidP="008629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5A5F05">
        <w:rPr>
          <w:rFonts w:ascii="Arial" w:hAnsi="Arial" w:cs="Arial"/>
          <w:color w:val="1F4E79" w:themeColor="accent1" w:themeShade="80"/>
          <w:sz w:val="20"/>
          <w:szCs w:val="20"/>
        </w:rPr>
        <w:t>24 ust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 xml:space="preserve">. </w:t>
      </w:r>
      <w:r w:rsidR="005A5F05">
        <w:rPr>
          <w:rFonts w:ascii="Arial" w:hAnsi="Arial" w:cs="Arial"/>
          <w:color w:val="1F4E79" w:themeColor="accent1" w:themeShade="80"/>
          <w:sz w:val="20"/>
          <w:szCs w:val="20"/>
        </w:rPr>
        <w:t xml:space="preserve">8 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>„</w:t>
      </w:r>
      <w:r w:rsidR="00F428C3" w:rsidRPr="00F428C3">
        <w:rPr>
          <w:rFonts w:ascii="Arial" w:hAnsi="Arial" w:cs="Arial"/>
          <w:bCs/>
          <w:color w:val="1F4E79" w:themeColor="accent1" w:themeShade="80"/>
          <w:sz w:val="20"/>
          <w:szCs w:val="20"/>
        </w:rPr>
        <w:t>Jak należy złożyć reklamację</w:t>
      </w:r>
      <w:r w:rsidR="0086294C">
        <w:rPr>
          <w:rFonts w:ascii="Arial" w:hAnsi="Arial" w:cs="Arial"/>
          <w:color w:val="1F4E79" w:themeColor="accent1" w:themeShade="80"/>
          <w:sz w:val="20"/>
          <w:szCs w:val="20"/>
        </w:rPr>
        <w:t xml:space="preserve">” </w:t>
      </w:r>
      <w:r w:rsidR="005A5F05">
        <w:rPr>
          <w:rFonts w:ascii="Arial" w:hAnsi="Arial" w:cs="Arial"/>
          <w:color w:val="1F4E79" w:themeColor="accent1" w:themeShade="80"/>
          <w:sz w:val="20"/>
          <w:szCs w:val="20"/>
        </w:rPr>
        <w:t>otrzymuje następujące brzmienie:</w:t>
      </w:r>
    </w:p>
    <w:p w:rsidR="005A5F05" w:rsidRDefault="005A5F05" w:rsidP="005A5F05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5A5F05" w:rsidRPr="005A5F05" w:rsidRDefault="005A5F05" w:rsidP="0086294C">
      <w:pPr>
        <w:spacing w:after="0" w:line="240" w:lineRule="auto"/>
        <w:ind w:left="284"/>
        <w:jc w:val="both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„</w:t>
      </w:r>
      <w:r w:rsidRPr="005A5F05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Zgłaszającemu reklamację przysługuje prawo dochodzenia swoich roszczeń przed sądem. Powództwo o roszczenie wynikające z umowy ubezpieczenia można wytoczyć według przepisów o właściwości ogólnej albo przed sąd właściwy dla miejsca zamieszkania lub siedziby ubezpieczającego, ubezpieczonego lub uprawnionego z umowy ubezpieczenia bądź przed sąd właściwy dla miejsca zamieszkania spadkobiercy ubezpieczonego lub spadkobiercy uprawnionego z umowy ubezpieczenia.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”</w:t>
      </w:r>
    </w:p>
    <w:p w:rsidR="005A5F05" w:rsidRPr="005A5F05" w:rsidRDefault="005A5F05" w:rsidP="005A5F05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</w:p>
    <w:p w:rsidR="00F7554E" w:rsidRDefault="00F7554E" w:rsidP="00F7554E">
      <w:pPr>
        <w:pStyle w:val="Akapitzlist"/>
        <w:widowControl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</w:p>
    <w:p w:rsidR="005A5F05" w:rsidRPr="005A5F05" w:rsidRDefault="0086294C" w:rsidP="0086294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80" w:after="0" w:line="240" w:lineRule="auto"/>
        <w:ind w:left="284" w:hanging="284"/>
        <w:jc w:val="both"/>
        <w:textAlignment w:val="baseline"/>
        <w:rPr>
          <w:rFonts w:ascii="Arial" w:hAnsi="Arial" w:cs="Arial"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 </w:t>
      </w:r>
      <w:r w:rsidR="00F428C3">
        <w:rPr>
          <w:rFonts w:ascii="Arial" w:hAnsi="Arial" w:cs="Arial"/>
          <w:iCs/>
          <w:color w:val="1F4E79" w:themeColor="accent1" w:themeShade="80"/>
          <w:sz w:val="20"/>
          <w:szCs w:val="20"/>
        </w:rPr>
        <w:t>W</w:t>
      </w:r>
      <w:r>
        <w:rPr>
          <w:rFonts w:ascii="Arial" w:hAnsi="Arial" w:cs="Arial"/>
          <w:iCs/>
          <w:color w:val="1F4E79" w:themeColor="accent1" w:themeShade="80"/>
          <w:sz w:val="20"/>
          <w:szCs w:val="20"/>
        </w:rPr>
        <w:t xml:space="preserve"> </w:t>
      </w:r>
      <w:r w:rsidR="0056386A">
        <w:rPr>
          <w:rFonts w:ascii="Arial" w:hAnsi="Arial" w:cs="Arial"/>
          <w:color w:val="1F4E79" w:themeColor="accent1" w:themeShade="80"/>
          <w:sz w:val="20"/>
          <w:szCs w:val="20"/>
        </w:rPr>
        <w:t xml:space="preserve">§ </w:t>
      </w:r>
      <w:r w:rsidR="005A5F05">
        <w:rPr>
          <w:rFonts w:ascii="Arial" w:hAnsi="Arial" w:cs="Arial"/>
          <w:color w:val="1F4E79" w:themeColor="accent1" w:themeShade="80"/>
          <w:sz w:val="20"/>
          <w:szCs w:val="20"/>
        </w:rPr>
        <w:t xml:space="preserve">24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„Postanowienia końcowe</w:t>
      </w:r>
      <w:bookmarkStart w:id="0" w:name="_GoBack"/>
      <w:r w:rsidR="00F428C3">
        <w:rPr>
          <w:rFonts w:ascii="Arial" w:hAnsi="Arial" w:cs="Arial"/>
          <w:color w:val="1F4E79" w:themeColor="accent1" w:themeShade="80"/>
          <w:sz w:val="20"/>
          <w:szCs w:val="20"/>
        </w:rPr>
        <w:t>” skreśla się</w:t>
      </w:r>
      <w:r w:rsidR="00F428C3" w:rsidRPr="00F428C3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F428C3">
        <w:rPr>
          <w:rFonts w:ascii="Arial" w:hAnsi="Arial" w:cs="Arial"/>
          <w:color w:val="1F4E79" w:themeColor="accent1" w:themeShade="80"/>
          <w:sz w:val="20"/>
          <w:szCs w:val="20"/>
        </w:rPr>
        <w:t>ust. 10.</w:t>
      </w:r>
      <w:bookmarkEnd w:id="0"/>
    </w:p>
    <w:p w:rsidR="00F66AA4" w:rsidRPr="006D571D" w:rsidRDefault="00F66AA4" w:rsidP="00F66AA4">
      <w:pPr>
        <w:pStyle w:val="Default"/>
        <w:rPr>
          <w:color w:val="1F4E79" w:themeColor="accent1" w:themeShade="80"/>
          <w:sz w:val="20"/>
          <w:szCs w:val="20"/>
        </w:rPr>
      </w:pPr>
    </w:p>
    <w:p w:rsidR="00F66AA4" w:rsidRPr="006D571D" w:rsidRDefault="0056386A" w:rsidP="006D571D">
      <w:pPr>
        <w:pStyle w:val="Default"/>
        <w:jc w:val="center"/>
        <w:rPr>
          <w:color w:val="1F4E79" w:themeColor="accent1" w:themeShade="80"/>
          <w:sz w:val="20"/>
          <w:szCs w:val="20"/>
        </w:rPr>
      </w:pPr>
      <w:r>
        <w:rPr>
          <w:b/>
          <w:bCs/>
          <w:color w:val="1F4E79" w:themeColor="accent1" w:themeShade="80"/>
          <w:sz w:val="20"/>
          <w:szCs w:val="20"/>
        </w:rPr>
        <w:t xml:space="preserve">§ </w:t>
      </w:r>
      <w:r w:rsidR="00AB7B1B" w:rsidRPr="006D571D">
        <w:rPr>
          <w:b/>
          <w:bCs/>
          <w:color w:val="1F4E79" w:themeColor="accent1" w:themeShade="80"/>
          <w:sz w:val="20"/>
          <w:szCs w:val="20"/>
        </w:rPr>
        <w:t>3</w:t>
      </w:r>
    </w:p>
    <w:p w:rsidR="00F66AA4" w:rsidRPr="006D571D" w:rsidRDefault="00F66AA4" w:rsidP="00F66AA4">
      <w:pPr>
        <w:pStyle w:val="Default"/>
        <w:rPr>
          <w:color w:val="1F4E79" w:themeColor="accent1" w:themeShade="80"/>
          <w:sz w:val="20"/>
          <w:szCs w:val="20"/>
        </w:rPr>
      </w:pPr>
      <w:r w:rsidRPr="006D571D">
        <w:rPr>
          <w:color w:val="1F4E79" w:themeColor="accent1" w:themeShade="80"/>
          <w:sz w:val="20"/>
          <w:szCs w:val="20"/>
        </w:rPr>
        <w:t>Pozostałe postanowienia OWU</w:t>
      </w:r>
      <w:r w:rsidR="0086294C">
        <w:rPr>
          <w:color w:val="1F4E79" w:themeColor="accent1" w:themeShade="80"/>
          <w:sz w:val="20"/>
          <w:szCs w:val="20"/>
        </w:rPr>
        <w:t xml:space="preserve"> domów i  mieszkań „</w:t>
      </w:r>
      <w:r w:rsidR="001A6B68">
        <w:rPr>
          <w:color w:val="1F4E79" w:themeColor="accent1" w:themeShade="80"/>
          <w:sz w:val="20"/>
          <w:szCs w:val="20"/>
        </w:rPr>
        <w:t>Cztery Kąty</w:t>
      </w:r>
      <w:r w:rsidR="00AB7B1B" w:rsidRPr="006D571D">
        <w:rPr>
          <w:color w:val="1F4E79" w:themeColor="accent1" w:themeShade="80"/>
          <w:sz w:val="20"/>
          <w:szCs w:val="20"/>
        </w:rPr>
        <w:t>”</w:t>
      </w:r>
      <w:r w:rsidRPr="006D571D">
        <w:rPr>
          <w:color w:val="1F4E79" w:themeColor="accent1" w:themeShade="80"/>
          <w:sz w:val="20"/>
          <w:szCs w:val="20"/>
        </w:rPr>
        <w:t xml:space="preserve"> pozostają bez zmian. </w:t>
      </w:r>
    </w:p>
    <w:p w:rsidR="006D571D" w:rsidRPr="006D571D" w:rsidRDefault="006D571D" w:rsidP="00F66AA4">
      <w:pPr>
        <w:pStyle w:val="Default"/>
        <w:rPr>
          <w:color w:val="1F4E79" w:themeColor="accent1" w:themeShade="80"/>
          <w:sz w:val="20"/>
          <w:szCs w:val="20"/>
        </w:rPr>
      </w:pPr>
    </w:p>
    <w:p w:rsidR="00F66AA4" w:rsidRPr="006D571D" w:rsidRDefault="0056386A" w:rsidP="006D571D">
      <w:pPr>
        <w:pStyle w:val="Default"/>
        <w:jc w:val="center"/>
        <w:rPr>
          <w:color w:val="1F4E79" w:themeColor="accent1" w:themeShade="80"/>
          <w:sz w:val="20"/>
          <w:szCs w:val="20"/>
        </w:rPr>
      </w:pPr>
      <w:r>
        <w:rPr>
          <w:b/>
          <w:bCs/>
          <w:color w:val="1F4E79" w:themeColor="accent1" w:themeShade="80"/>
          <w:sz w:val="20"/>
          <w:szCs w:val="20"/>
        </w:rPr>
        <w:t xml:space="preserve">§ </w:t>
      </w:r>
      <w:r w:rsidR="006D571D" w:rsidRPr="006D571D">
        <w:rPr>
          <w:b/>
          <w:bCs/>
          <w:color w:val="1F4E79" w:themeColor="accent1" w:themeShade="80"/>
          <w:sz w:val="20"/>
          <w:szCs w:val="20"/>
        </w:rPr>
        <w:t>4</w:t>
      </w:r>
    </w:p>
    <w:p w:rsidR="00F66AA4" w:rsidRPr="006D571D" w:rsidRDefault="00F66AA4" w:rsidP="006D571D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6D571D">
        <w:rPr>
          <w:rFonts w:ascii="Arial" w:hAnsi="Arial" w:cs="Arial"/>
          <w:color w:val="1F4E79" w:themeColor="accent1" w:themeShade="80"/>
          <w:sz w:val="20"/>
          <w:szCs w:val="20"/>
        </w:rPr>
        <w:t>Niniejszy aneks wchodzi w życie z dniem 01 stycznia 2016 r</w:t>
      </w:r>
      <w:r w:rsidR="00376D96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Pr="006D571D">
        <w:rPr>
          <w:rFonts w:ascii="Arial" w:hAnsi="Arial" w:cs="Arial"/>
          <w:color w:val="1F4E79" w:themeColor="accent1" w:themeShade="80"/>
          <w:sz w:val="20"/>
          <w:szCs w:val="20"/>
        </w:rPr>
        <w:t xml:space="preserve"> i ma zastosowanie do umów ubezpieczenia zawartych od tego dnia.</w:t>
      </w:r>
    </w:p>
    <w:sectPr w:rsidR="00F66AA4" w:rsidRPr="006D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B9B"/>
    <w:multiLevelType w:val="hybridMultilevel"/>
    <w:tmpl w:val="E410CD28"/>
    <w:lvl w:ilvl="0" w:tplc="85C6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A1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2994"/>
    <w:multiLevelType w:val="hybridMultilevel"/>
    <w:tmpl w:val="B1604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73763"/>
    <w:multiLevelType w:val="hybridMultilevel"/>
    <w:tmpl w:val="64BC0A4E"/>
    <w:lvl w:ilvl="0" w:tplc="EFC02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DEC"/>
    <w:multiLevelType w:val="hybridMultilevel"/>
    <w:tmpl w:val="52669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479F8"/>
    <w:multiLevelType w:val="hybridMultilevel"/>
    <w:tmpl w:val="CEE8265E"/>
    <w:lvl w:ilvl="0" w:tplc="A44C7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61CD"/>
    <w:multiLevelType w:val="hybridMultilevel"/>
    <w:tmpl w:val="11B4808C"/>
    <w:lvl w:ilvl="0" w:tplc="AC6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016B5"/>
    <w:multiLevelType w:val="hybridMultilevel"/>
    <w:tmpl w:val="C0D8C200"/>
    <w:lvl w:ilvl="0" w:tplc="1554774A">
      <w:start w:val="9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8A2"/>
    <w:multiLevelType w:val="hybridMultilevel"/>
    <w:tmpl w:val="303491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7DD01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i w:val="0"/>
        <w:color w:val="auto"/>
        <w:sz w:val="20"/>
        <w:szCs w:val="20"/>
      </w:rPr>
    </w:lvl>
    <w:lvl w:ilvl="2" w:tplc="89E8F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C045E"/>
    <w:multiLevelType w:val="hybridMultilevel"/>
    <w:tmpl w:val="761A6154"/>
    <w:lvl w:ilvl="0" w:tplc="4A18C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5989"/>
    <w:multiLevelType w:val="hybridMultilevel"/>
    <w:tmpl w:val="717AF2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725BD"/>
    <w:multiLevelType w:val="singleLevel"/>
    <w:tmpl w:val="22CEA448"/>
    <w:lvl w:ilvl="0">
      <w:start w:val="1"/>
      <w:numFmt w:val="decimal"/>
      <w:lvlText w:val="%1."/>
      <w:legacy w:legacy="1" w:legacySpace="0" w:legacyIndent="298"/>
      <w:lvlJc w:val="left"/>
      <w:rPr>
        <w:rFonts w:ascii="Calibri" w:hAnsi="Calibri" w:cs="Calibri" w:hint="default"/>
        <w:b w:val="0"/>
      </w:rPr>
    </w:lvl>
  </w:abstractNum>
  <w:abstractNum w:abstractNumId="11" w15:restartNumberingAfterBreak="0">
    <w:nsid w:val="76782704"/>
    <w:multiLevelType w:val="hybridMultilevel"/>
    <w:tmpl w:val="6832DBFE"/>
    <w:lvl w:ilvl="0" w:tplc="FE98BE9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6"/>
    <w:rsid w:val="00083F2E"/>
    <w:rsid w:val="000B7A26"/>
    <w:rsid w:val="000C1AA2"/>
    <w:rsid w:val="001027DC"/>
    <w:rsid w:val="00181E8E"/>
    <w:rsid w:val="001A6B68"/>
    <w:rsid w:val="001E175B"/>
    <w:rsid w:val="00246DA1"/>
    <w:rsid w:val="002909CE"/>
    <w:rsid w:val="00376D96"/>
    <w:rsid w:val="003A6613"/>
    <w:rsid w:val="00447007"/>
    <w:rsid w:val="00474DDE"/>
    <w:rsid w:val="004923B9"/>
    <w:rsid w:val="00495BCD"/>
    <w:rsid w:val="00503E8A"/>
    <w:rsid w:val="0056386A"/>
    <w:rsid w:val="005A4B0A"/>
    <w:rsid w:val="005A5F05"/>
    <w:rsid w:val="00642525"/>
    <w:rsid w:val="006D571D"/>
    <w:rsid w:val="007039C5"/>
    <w:rsid w:val="00744153"/>
    <w:rsid w:val="00780334"/>
    <w:rsid w:val="00795513"/>
    <w:rsid w:val="00823516"/>
    <w:rsid w:val="00834EA5"/>
    <w:rsid w:val="0086294C"/>
    <w:rsid w:val="008874CB"/>
    <w:rsid w:val="00925AE5"/>
    <w:rsid w:val="00980D36"/>
    <w:rsid w:val="009B7EA3"/>
    <w:rsid w:val="009D1726"/>
    <w:rsid w:val="00A12FB5"/>
    <w:rsid w:val="00A25A42"/>
    <w:rsid w:val="00AB7B1B"/>
    <w:rsid w:val="00AC7E44"/>
    <w:rsid w:val="00B659EF"/>
    <w:rsid w:val="00C842D2"/>
    <w:rsid w:val="00CE19F6"/>
    <w:rsid w:val="00D17370"/>
    <w:rsid w:val="00D91E71"/>
    <w:rsid w:val="00DB6260"/>
    <w:rsid w:val="00DE3426"/>
    <w:rsid w:val="00E77374"/>
    <w:rsid w:val="00EC5846"/>
    <w:rsid w:val="00F428C3"/>
    <w:rsid w:val="00F60DC6"/>
    <w:rsid w:val="00F66AA4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419A-31EE-445E-90B0-B71317A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DC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D571D"/>
    <w:pPr>
      <w:tabs>
        <w:tab w:val="right" w:leader="dot" w:pos="9781"/>
      </w:tabs>
      <w:spacing w:after="100"/>
      <w:jc w:val="center"/>
    </w:pPr>
    <w:rPr>
      <w:b/>
      <w:color w:val="1F4E79" w:themeColor="accent1" w:themeShade="80"/>
      <w:lang w:eastAsia="pl-PL"/>
    </w:rPr>
  </w:style>
  <w:style w:type="paragraph" w:customStyle="1" w:styleId="Default">
    <w:name w:val="Default"/>
    <w:rsid w:val="00F66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1A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9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1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1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1594</Words>
  <Characters>9568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Hromada</dc:creator>
  <cp:keywords/>
  <dc:description/>
  <cp:lastModifiedBy>Monika Hromada</cp:lastModifiedBy>
  <cp:revision>2</cp:revision>
  <dcterms:created xsi:type="dcterms:W3CDTF">2016-01-13T13:34:00Z</dcterms:created>
  <dcterms:modified xsi:type="dcterms:W3CDTF">2016-01-13T13:34:00Z</dcterms:modified>
</cp:coreProperties>
</file>